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Pr="00AC2169" w:rsidRDefault="00AC2169" w:rsidP="00AC216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C2169">
        <w:rPr>
          <w:rFonts w:ascii="Times New Roman" w:eastAsia="Times New Roman" w:hAnsi="Times New Roman" w:cs="Times New Roman"/>
          <w:b/>
          <w:bCs/>
          <w:sz w:val="36"/>
          <w:szCs w:val="36"/>
          <w:lang w:eastAsia="fr-FR"/>
        </w:rPr>
        <w:t xml:space="preserve">Mobilité des personnels enseignants du second degré : affectation des personnels enseignants, d'éducation et des psychologues de l'éducation nationale à Saint-Pierre et Miquelon, et des seuls personnels d'éducation à Mayotte </w:t>
      </w:r>
      <w:r w:rsidRPr="00AC2169">
        <w:rPr>
          <w:rFonts w:ascii="Calibri Light" w:eastAsia="Times New Roman" w:hAnsi="Calibri Light" w:cs="Calibri Light"/>
          <w:b/>
          <w:bCs/>
          <w:sz w:val="36"/>
          <w:szCs w:val="36"/>
          <w:lang w:eastAsia="fr-FR"/>
        </w:rPr>
        <w:t></w:t>
      </w:r>
      <w:r w:rsidRPr="00AC2169">
        <w:rPr>
          <w:rFonts w:ascii="Times New Roman" w:eastAsia="Times New Roman" w:hAnsi="Times New Roman" w:cs="Times New Roman"/>
          <w:b/>
          <w:bCs/>
          <w:sz w:val="36"/>
          <w:szCs w:val="36"/>
          <w:lang w:eastAsia="fr-FR"/>
        </w:rPr>
        <w:t xml:space="preserve"> rentr</w:t>
      </w:r>
      <w:r w:rsidRPr="00AC2169">
        <w:rPr>
          <w:rFonts w:ascii="Calibri Light" w:eastAsia="Times New Roman" w:hAnsi="Calibri Light" w:cs="Calibri Light"/>
          <w:b/>
          <w:bCs/>
          <w:sz w:val="36"/>
          <w:szCs w:val="36"/>
          <w:lang w:eastAsia="fr-FR"/>
        </w:rPr>
        <w:t>é</w:t>
      </w:r>
      <w:r w:rsidRPr="00AC2169">
        <w:rPr>
          <w:rFonts w:ascii="Times New Roman" w:eastAsia="Times New Roman" w:hAnsi="Times New Roman" w:cs="Times New Roman"/>
          <w:b/>
          <w:bCs/>
          <w:sz w:val="36"/>
          <w:szCs w:val="36"/>
          <w:lang w:eastAsia="fr-FR"/>
        </w:rPr>
        <w:t>e 2018</w:t>
      </w:r>
    </w:p>
    <w:p w:rsidR="00AC2169" w:rsidRPr="00AC2169" w:rsidRDefault="00AC2169" w:rsidP="00AC2169">
      <w:pPr>
        <w:spacing w:after="0"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NOR : MENH1729617N</w:t>
      </w:r>
      <w:r w:rsidRPr="00AC2169">
        <w:rPr>
          <w:rFonts w:ascii="Times New Roman" w:eastAsia="Times New Roman" w:hAnsi="Times New Roman" w:cs="Times New Roman"/>
          <w:sz w:val="24"/>
          <w:szCs w:val="24"/>
          <w:lang w:eastAsia="fr-FR"/>
        </w:rPr>
        <w:br/>
        <w:t>note de service n° 2017-167 du 6-11-2017</w:t>
      </w:r>
      <w:r w:rsidRPr="00AC2169">
        <w:rPr>
          <w:rFonts w:ascii="Times New Roman" w:eastAsia="Times New Roman" w:hAnsi="Times New Roman" w:cs="Times New Roman"/>
          <w:sz w:val="24"/>
          <w:szCs w:val="24"/>
          <w:lang w:eastAsia="fr-FR"/>
        </w:rPr>
        <w:br/>
        <w:t>MEN - DGRH B2-2</w:t>
      </w:r>
    </w:p>
    <w:p w:rsidR="00AC2169" w:rsidRPr="00AC2169" w:rsidRDefault="00AC2169" w:rsidP="00AC2169">
      <w:pPr>
        <w:spacing w:after="0" w:line="240" w:lineRule="auto"/>
        <w:rPr>
          <w:rFonts w:ascii="Times New Roman" w:eastAsia="Times New Roman" w:hAnsi="Times New Roman" w:cs="Times New Roman"/>
          <w:sz w:val="24"/>
          <w:szCs w:val="24"/>
          <w:lang w:eastAsia="fr-FR"/>
        </w:rPr>
      </w:pPr>
    </w:p>
    <w:p w:rsidR="00AC2169" w:rsidRPr="00AC2169" w:rsidRDefault="00AC2169" w:rsidP="00AC2169">
      <w:pPr>
        <w:spacing w:after="0"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pict>
          <v:rect id="_x0000_i1025" style="width:0;height:1.5pt" o:hralign="center" o:hrstd="t" o:hr="t" fillcolor="#a0a0a0" stroked="f"/>
        </w:pict>
      </w:r>
    </w:p>
    <w:p w:rsidR="00AC2169" w:rsidRPr="00AC2169" w:rsidRDefault="00AC2169" w:rsidP="00AC2169">
      <w:pPr>
        <w:spacing w:after="240"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Texte adressé aux rectrices et recteurs d'académie ; aux vice-recteurs ; au chef du service de l'éducation nationale de Saint-Pierre-et-Miquelon.</w:t>
      </w:r>
      <w:r w:rsidRPr="00AC2169">
        <w:rPr>
          <w:rFonts w:ascii="Times New Roman" w:eastAsia="Times New Roman" w:hAnsi="Times New Roman" w:cs="Times New Roman"/>
          <w:sz w:val="24"/>
          <w:szCs w:val="24"/>
          <w:lang w:eastAsia="fr-FR"/>
        </w:rPr>
        <w:br/>
        <w:t>Vu loi n° 50-772 du 30-6-1950 ; décret n° 96-1027 du 26 11-1996 ; décret n° 96-1028 du 27-11-1996</w:t>
      </w:r>
      <w:r w:rsidRPr="00AC2169">
        <w:rPr>
          <w:rFonts w:ascii="Times New Roman" w:eastAsia="Times New Roman" w:hAnsi="Times New Roman" w:cs="Times New Roman"/>
          <w:sz w:val="24"/>
          <w:szCs w:val="24"/>
          <w:lang w:eastAsia="fr-FR"/>
        </w:rPr>
        <w:br/>
        <w:t>Texte abrogé : Note de service n° 2016-168 du 9-11-2016</w:t>
      </w:r>
    </w:p>
    <w:p w:rsidR="00AC2169" w:rsidRPr="00AC2169" w:rsidRDefault="00AC2169" w:rsidP="00AC2169">
      <w:pPr>
        <w:spacing w:after="0"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pict>
          <v:rect id="_x0000_i1026" style="width:0;height:1.5pt" o:hralign="center" o:hrstd="t" o:hr="t" fillcolor="#a0a0a0" stroked="f"/>
        </w:pic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La présente note de service a pour objet d'indiquer les conditions dans lesquelles seront déposées et instruites, les candidatures des personnels enseignants du second degré, d'éducation et des psychologues de l'éducation nationale à une affectation à Saint-Pierre-et-Miquelon et les candidatures des personnels d'éducation à Mayotte, pour la rentrée scolaire 2018.</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Peuvent faire acte de candidature pour Mayotte les conseillers principaux.</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Peuvent faire acte de candidature pour Saint-Pierre-et-Miquelon les personnels enseignants du second degré, d'éducation et les psychologues de l'éducation nationale.</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Les personnels ayant déjà exercé leurs fonctions en qualité de fonctionnaire titulaire dans une collectivité d'outre-mer ou à Mayotte et qui ne se sont pas vu reconnaître le transfert du centre de leurs intérêts matériels et moraux dans ladite collectivité, ne peuvent solliciter une nouvelle candidature à Saint-Pierre-et-Miquelon </w:t>
      </w:r>
      <w:r w:rsidRPr="00AC2169">
        <w:rPr>
          <w:rFonts w:ascii="Times New Roman" w:eastAsia="Times New Roman" w:hAnsi="Times New Roman" w:cs="Times New Roman"/>
          <w:b/>
          <w:bCs/>
          <w:sz w:val="24"/>
          <w:szCs w:val="24"/>
          <w:lang w:eastAsia="fr-FR"/>
        </w:rPr>
        <w:t>qu'à l'issue d'une affectation ou d'un détachement hors de ces territoires ouvrant droit à l'avancement et à la retraite, d'une durée minimale de deux ans</w:t>
      </w:r>
      <w:r w:rsidRPr="00AC2169">
        <w:rPr>
          <w:rFonts w:ascii="Times New Roman" w:eastAsia="Times New Roman" w:hAnsi="Times New Roman" w:cs="Times New Roman"/>
          <w:sz w:val="24"/>
          <w:szCs w:val="24"/>
          <w:lang w:eastAsia="fr-FR"/>
        </w:rPr>
        <w:t>. Cette durée minimale correspond à deux années scolaires du point de vue du territoire sollicité.</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Aucune liste des postes vacants n'est publiée. Les candidats peuvent formuler des vœux portant sur un établissement, une commune, une zone de la collectivité territoriale ou la collectivité territoriale toute entière.</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I. Dépôt des candidatures et formulation des vœux : du 30 novembre au 12 décembre 2017</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Les candidatures doivent être impérativement déposées entre le </w:t>
      </w:r>
      <w:r w:rsidRPr="00AC2169">
        <w:rPr>
          <w:rFonts w:ascii="Times New Roman" w:eastAsia="Times New Roman" w:hAnsi="Times New Roman" w:cs="Times New Roman"/>
          <w:b/>
          <w:bCs/>
          <w:sz w:val="24"/>
          <w:szCs w:val="24"/>
          <w:lang w:eastAsia="fr-FR"/>
        </w:rPr>
        <w:t>30 novembre 2017 et le 12 décembre 2017</w:t>
      </w:r>
      <w:r w:rsidRPr="00AC2169">
        <w:rPr>
          <w:rFonts w:ascii="Times New Roman" w:eastAsia="Times New Roman" w:hAnsi="Times New Roman" w:cs="Times New Roman"/>
          <w:sz w:val="24"/>
          <w:szCs w:val="24"/>
          <w:lang w:eastAsia="fr-FR"/>
        </w:rPr>
        <w:t xml:space="preserve">, par voie électronique sur le site </w:t>
      </w:r>
      <w:proofErr w:type="spellStart"/>
      <w:r w:rsidRPr="00AC2169">
        <w:rPr>
          <w:rFonts w:ascii="Times New Roman" w:eastAsia="Times New Roman" w:hAnsi="Times New Roman" w:cs="Times New Roman"/>
          <w:sz w:val="24"/>
          <w:szCs w:val="24"/>
          <w:lang w:eastAsia="fr-FR"/>
        </w:rPr>
        <w:t>Siat</w:t>
      </w:r>
      <w:proofErr w:type="spellEnd"/>
      <w:r w:rsidRPr="00AC2169">
        <w:rPr>
          <w:rFonts w:ascii="Times New Roman" w:eastAsia="Times New Roman" w:hAnsi="Times New Roman" w:cs="Times New Roman"/>
          <w:sz w:val="24"/>
          <w:szCs w:val="24"/>
          <w:lang w:eastAsia="fr-FR"/>
        </w:rPr>
        <w:t xml:space="preserve"> accessible à l'adresse : </w:t>
      </w:r>
      <w:hyperlink r:id="rId4" w:tgtFrame="_blank" w:tooltip="Site du ministère de l'Éducation nationale" w:history="1">
        <w:r w:rsidRPr="00AC2169">
          <w:rPr>
            <w:rFonts w:ascii="Times New Roman" w:eastAsia="Times New Roman" w:hAnsi="Times New Roman" w:cs="Times New Roman"/>
            <w:color w:val="0000FF"/>
            <w:sz w:val="24"/>
            <w:szCs w:val="24"/>
            <w:u w:val="single"/>
            <w:lang w:eastAsia="fr-FR"/>
          </w:rPr>
          <w:t>http://www.education.gouv.fr</w:t>
        </w:r>
      </w:hyperlink>
      <w:r w:rsidRPr="00AC2169">
        <w:rPr>
          <w:rFonts w:ascii="Times New Roman" w:eastAsia="Times New Roman" w:hAnsi="Times New Roman" w:cs="Times New Roman"/>
          <w:sz w:val="24"/>
          <w:szCs w:val="24"/>
          <w:lang w:eastAsia="fr-FR"/>
        </w:rPr>
        <w:t xml:space="preserve"> - rubrique « personnels, concours, carrières » puis « enseignants ». Un dossier accessible dans cette rubrique permet de saisir directement la </w:t>
      </w:r>
      <w:r w:rsidRPr="00AC2169">
        <w:rPr>
          <w:rFonts w:ascii="Times New Roman" w:eastAsia="Times New Roman" w:hAnsi="Times New Roman" w:cs="Times New Roman"/>
          <w:sz w:val="24"/>
          <w:szCs w:val="24"/>
          <w:lang w:eastAsia="fr-FR"/>
        </w:rPr>
        <w:lastRenderedPageBreak/>
        <w:t>candidature et les vœux. Ce dossier est ensuite imprimé, signé par l'agent et expédié suivant les procédures indiquées au § II.</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II. Transmission des dossiers</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Le dossier de candidature, une fois édité puis signé par l'agent, doit être remis en un seul exemplaire, accompagné des pièces justificatives (copie du dernier rapport d'inspection, copie de la dernière notice annuelle de notation) au supérieur hiérarchique direct qui portera un avis motivé sur la candidature ainsi que son appréciation sur la manière de servir de l'intéressé. Les personnels en disponibilité au moment du dépôt de leur candidature doivent transmettre leur dossier par l'intermédiaire du chef d'établissement ou de service de leur dernière affectation.</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Il est demandé aux services académiques concernés de bien vouloir transmettre au plus tard pour</w:t>
      </w:r>
      <w:r w:rsidRPr="00AC2169">
        <w:rPr>
          <w:rFonts w:ascii="Times New Roman" w:eastAsia="Times New Roman" w:hAnsi="Times New Roman" w:cs="Times New Roman"/>
          <w:b/>
          <w:bCs/>
          <w:sz w:val="24"/>
          <w:szCs w:val="24"/>
          <w:lang w:eastAsia="fr-FR"/>
        </w:rPr>
        <w:t xml:space="preserve"> le 12 janvier 2018</w:t>
      </w:r>
      <w:r w:rsidRPr="00AC2169">
        <w:rPr>
          <w:rFonts w:ascii="Times New Roman" w:eastAsia="Times New Roman" w:hAnsi="Times New Roman" w:cs="Times New Roman"/>
          <w:sz w:val="24"/>
          <w:szCs w:val="24"/>
          <w:lang w:eastAsia="fr-FR"/>
        </w:rPr>
        <w:t>, les dossiers de candidature complets au ministère de l'éducation nationale, bureau des affectations et des mutations des personnels du second degré (</w:t>
      </w:r>
      <w:r w:rsidRPr="00AC2169">
        <w:rPr>
          <w:rFonts w:ascii="Times New Roman" w:eastAsia="Times New Roman" w:hAnsi="Times New Roman" w:cs="Times New Roman"/>
          <w:b/>
          <w:bCs/>
          <w:sz w:val="24"/>
          <w:szCs w:val="24"/>
          <w:lang w:eastAsia="fr-FR"/>
        </w:rPr>
        <w:t>DGRH / B2-2, 72 rue de Regnault - 75243 Paris Cedex 13</w:t>
      </w:r>
      <w:r w:rsidRPr="00AC2169">
        <w:rPr>
          <w:rFonts w:ascii="Times New Roman" w:eastAsia="Times New Roman" w:hAnsi="Times New Roman" w:cs="Times New Roman"/>
          <w:sz w:val="24"/>
          <w:szCs w:val="24"/>
          <w:lang w:eastAsia="fr-FR"/>
        </w:rPr>
        <w:t>).</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Votre attention est appelée sur le fait que tout retard de transmission est susceptible de porter préjudice aux candidats ayant déposé leur dossier dans le délai imparti.</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Tout dossier parvenu incomplet au bureau DGRH / B2-2, en dehors de la voie hiérarchique ou hors délais (cf. annexe), ne pourra être examiné. Les vœux qui ne seraient pas formulés par la voie électronique ne pourront pas être pris en compte.</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III. Dispositions particulières</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III.1 Demandes de mutations simultanées ou de rapprochement de conjoints</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Les situations prises en compte pour les demandes de mutations simultanées ou de rapprochement de conjoints sont les suivantes :</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 celles des agents mariés ou dont le mariage est intervenu au plus tard le </w:t>
      </w:r>
      <w:r w:rsidRPr="00AC2169">
        <w:rPr>
          <w:rFonts w:ascii="Times New Roman" w:eastAsia="Times New Roman" w:hAnsi="Times New Roman" w:cs="Times New Roman"/>
          <w:b/>
          <w:bCs/>
          <w:sz w:val="24"/>
          <w:szCs w:val="24"/>
          <w:lang w:eastAsia="fr-FR"/>
        </w:rPr>
        <w:t>31 août 2017</w:t>
      </w:r>
      <w:r w:rsidRPr="00AC2169">
        <w:rPr>
          <w:rFonts w:ascii="Times New Roman" w:eastAsia="Times New Roman" w:hAnsi="Times New Roman" w:cs="Times New Roman"/>
          <w:sz w:val="24"/>
          <w:szCs w:val="24"/>
          <w:lang w:eastAsia="fr-FR"/>
        </w:rPr>
        <w:t> ;</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 celles des agents liés par un pacte civil de solidarité (Pacs), établi au plus tard </w:t>
      </w:r>
      <w:r w:rsidRPr="00AC2169">
        <w:rPr>
          <w:rFonts w:ascii="Times New Roman" w:eastAsia="Times New Roman" w:hAnsi="Times New Roman" w:cs="Times New Roman"/>
          <w:b/>
          <w:bCs/>
          <w:sz w:val="24"/>
          <w:szCs w:val="24"/>
          <w:lang w:eastAsia="fr-FR"/>
        </w:rPr>
        <w:t>le 31 août 2017</w:t>
      </w:r>
      <w:r w:rsidRPr="00AC2169">
        <w:rPr>
          <w:rFonts w:ascii="Times New Roman" w:eastAsia="Times New Roman" w:hAnsi="Times New Roman" w:cs="Times New Roman"/>
          <w:sz w:val="24"/>
          <w:szCs w:val="24"/>
          <w:lang w:eastAsia="fr-FR"/>
        </w:rPr>
        <w:t xml:space="preserve"> avec copie de la dernière imposition commune ;</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 celles des agents non mariés ou des agents pacsés avec enfant(s) à charge de moins de 20 ans, né(s) et reconnu(s) par les deux parents au plus tard le 31 décembre 2017 ou avec reconnaissance par anticipation au plus tard le 31 </w:t>
      </w:r>
      <w:proofErr w:type="gramStart"/>
      <w:r w:rsidRPr="00AC2169">
        <w:rPr>
          <w:rFonts w:ascii="Times New Roman" w:eastAsia="Times New Roman" w:hAnsi="Times New Roman" w:cs="Times New Roman"/>
          <w:sz w:val="24"/>
          <w:szCs w:val="24"/>
          <w:lang w:eastAsia="fr-FR"/>
        </w:rPr>
        <w:t>décembre  2017</w:t>
      </w:r>
      <w:proofErr w:type="gramEnd"/>
      <w:r w:rsidRPr="00AC2169">
        <w:rPr>
          <w:rFonts w:ascii="Times New Roman" w:eastAsia="Times New Roman" w:hAnsi="Times New Roman" w:cs="Times New Roman"/>
          <w:sz w:val="24"/>
          <w:szCs w:val="24"/>
          <w:lang w:eastAsia="fr-FR"/>
        </w:rPr>
        <w:t xml:space="preserve"> du ou des enfants à naître.</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Dans le cas d'un rapprochement de conjoints, il convient de présenter une attestation de l'activité professionnelle du conjoint, sauf lorsque celui-ci est agent du ministère de l'éducation nationale et pour lequel il suffit de rappeler le corps, le grade et la discipline. Cette attestation doit dater de moins de six mois et préciser le lieu d'exercice et la date de prise de fonctions.</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Ce peut être un certificat d'exercice délivré par l'employeur, une attestation d'inscription au répertoire des métiers ou au registre du commerce (artisan ou commerçant), un certificat d'inscription au conseil de l'ordre dont relève le conjoint (profession libérale) ou une attestation d'inscription au rôle de la taxe professionnelle.</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lastRenderedPageBreak/>
        <w:t>III.2 Prise en charge des frais de changement de résidence pour Saint-Pierre et Miquelon</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Les décrets n° 89-271 du 12 avril 1989 modifié et n° 98-844 du 22 septembre 1998 subordonnent la prise en charge des frais de changement de résidence </w:t>
      </w:r>
      <w:r w:rsidRPr="00AC2169">
        <w:rPr>
          <w:rFonts w:ascii="Times New Roman" w:eastAsia="Times New Roman" w:hAnsi="Times New Roman" w:cs="Times New Roman"/>
          <w:b/>
          <w:bCs/>
          <w:sz w:val="24"/>
          <w:szCs w:val="24"/>
          <w:lang w:eastAsia="fr-FR"/>
        </w:rPr>
        <w:t>à une durée dans l'ancienne résidence administrative d'au moins quatre années de service</w:t>
      </w:r>
      <w:r w:rsidRPr="00AC2169">
        <w:rPr>
          <w:rFonts w:ascii="Times New Roman" w:eastAsia="Times New Roman" w:hAnsi="Times New Roman" w:cs="Times New Roman"/>
          <w:sz w:val="24"/>
          <w:szCs w:val="24"/>
          <w:lang w:eastAsia="fr-FR"/>
        </w:rPr>
        <w:t> ; le décompte des années de service s'appréciant à l'issue de la dernière affectation en outre-mer obtenue par l'agent.</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Les agents détachés au titre de l'article 14 - 1 du décret n° 85-986 du 16 septembre 1985 y ont droit à la condition d'avoir été réintégrés dans une académie ou un Dom et d'y avoir exercé un service effectif.</w:t>
      </w:r>
    </w:p>
    <w:p w:rsidR="00AC2169" w:rsidRPr="00AC2169" w:rsidRDefault="00AC2169" w:rsidP="00AC2169">
      <w:pPr>
        <w:spacing w:after="0" w:line="240" w:lineRule="auto"/>
        <w:rPr>
          <w:rFonts w:ascii="Times New Roman" w:eastAsia="Times New Roman" w:hAnsi="Times New Roman" w:cs="Times New Roman"/>
          <w:sz w:val="24"/>
          <w:szCs w:val="24"/>
          <w:lang w:eastAsia="fr-FR"/>
        </w:rPr>
      </w:pPr>
    </w:p>
    <w:p w:rsidR="00AC2169" w:rsidRPr="00AC2169" w:rsidRDefault="00AC2169" w:rsidP="00AC2169">
      <w:pPr>
        <w:spacing w:after="0"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Pour le ministre de l'éducation nationale et par délégation,</w:t>
      </w:r>
      <w:r w:rsidRPr="00AC2169">
        <w:rPr>
          <w:rFonts w:ascii="Times New Roman" w:eastAsia="Times New Roman" w:hAnsi="Times New Roman" w:cs="Times New Roman"/>
          <w:sz w:val="24"/>
          <w:szCs w:val="24"/>
          <w:lang w:eastAsia="fr-FR"/>
        </w:rPr>
        <w:br/>
        <w:t>Le directeur général des ressources humaines,</w:t>
      </w:r>
      <w:r w:rsidRPr="00AC2169">
        <w:rPr>
          <w:rFonts w:ascii="Times New Roman" w:eastAsia="Times New Roman" w:hAnsi="Times New Roman" w:cs="Times New Roman"/>
          <w:sz w:val="24"/>
          <w:szCs w:val="24"/>
          <w:lang w:eastAsia="fr-FR"/>
        </w:rPr>
        <w:br/>
        <w:t xml:space="preserve">Édouard </w:t>
      </w:r>
      <w:proofErr w:type="spellStart"/>
      <w:r w:rsidRPr="00AC2169">
        <w:rPr>
          <w:rFonts w:ascii="Times New Roman" w:eastAsia="Times New Roman" w:hAnsi="Times New Roman" w:cs="Times New Roman"/>
          <w:sz w:val="24"/>
          <w:szCs w:val="24"/>
          <w:lang w:eastAsia="fr-FR"/>
        </w:rPr>
        <w:t>Geffray</w:t>
      </w:r>
      <w:proofErr w:type="spellEnd"/>
    </w:p>
    <w:p w:rsidR="00AC2169" w:rsidRPr="00AC2169" w:rsidRDefault="00AC2169" w:rsidP="00AC2169">
      <w:pPr>
        <w:spacing w:after="0" w:line="240" w:lineRule="auto"/>
        <w:rPr>
          <w:rFonts w:ascii="Times New Roman" w:eastAsia="Times New Roman" w:hAnsi="Times New Roman" w:cs="Times New Roman"/>
          <w:sz w:val="24"/>
          <w:szCs w:val="24"/>
          <w:lang w:eastAsia="fr-FR"/>
        </w:rPr>
      </w:pP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Annexe I - Calendrier des opérations</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Mayotte et Saint-Pierre-et-Miquelon</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4"/>
        <w:gridCol w:w="3842"/>
      </w:tblGrid>
      <w:tr w:rsidR="00AC2169" w:rsidRPr="00AC2169" w:rsidTr="00AC2169">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Nature des opérations</w:t>
            </w:r>
          </w:p>
        </w:tc>
        <w:tc>
          <w:tcPr>
            <w:tcW w:w="210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Calendrier</w:t>
            </w:r>
          </w:p>
        </w:tc>
      </w:tr>
      <w:tr w:rsidR="00AC2169" w:rsidRPr="00AC2169" w:rsidTr="00AC2169">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Saisie des candidatures et des vœux par internet</w:t>
            </w:r>
          </w:p>
        </w:tc>
        <w:tc>
          <w:tcPr>
            <w:tcW w:w="210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Du 30 novembre au 12 décembre  2017</w:t>
            </w:r>
          </w:p>
        </w:tc>
      </w:tr>
      <w:tr w:rsidR="00AC2169" w:rsidRPr="00AC2169" w:rsidTr="00AC2169">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Date limite de réception par le bureau </w:t>
            </w:r>
            <w:r w:rsidRPr="00AC2169">
              <w:rPr>
                <w:rFonts w:ascii="Times New Roman" w:eastAsia="Times New Roman" w:hAnsi="Times New Roman" w:cs="Times New Roman"/>
                <w:b/>
                <w:bCs/>
                <w:sz w:val="24"/>
                <w:szCs w:val="24"/>
                <w:lang w:eastAsia="fr-FR"/>
              </w:rPr>
              <w:t>DGRH / B2-2</w:t>
            </w:r>
            <w:r w:rsidRPr="00AC2169">
              <w:rPr>
                <w:rFonts w:ascii="Times New Roman" w:eastAsia="Times New Roman" w:hAnsi="Times New Roman" w:cs="Times New Roman"/>
                <w:sz w:val="24"/>
                <w:szCs w:val="24"/>
                <w:lang w:eastAsia="fr-FR"/>
              </w:rPr>
              <w:t xml:space="preserve"> des dossiers de candidature acheminés par la voie hiérarchique</w:t>
            </w:r>
          </w:p>
        </w:tc>
        <w:tc>
          <w:tcPr>
            <w:tcW w:w="210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12 janvier 2018</w:t>
            </w:r>
          </w:p>
        </w:tc>
      </w:tr>
      <w:tr w:rsidR="00AC2169" w:rsidRPr="00AC2169" w:rsidTr="00AC2169">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Résultats des affectations des CPE à </w:t>
            </w:r>
            <w:r w:rsidRPr="00AC2169">
              <w:rPr>
                <w:rFonts w:ascii="Times New Roman" w:eastAsia="Times New Roman" w:hAnsi="Times New Roman" w:cs="Times New Roman"/>
                <w:b/>
                <w:bCs/>
                <w:sz w:val="24"/>
                <w:szCs w:val="24"/>
                <w:lang w:eastAsia="fr-FR"/>
              </w:rPr>
              <w:t>Mayotte</w:t>
            </w:r>
          </w:p>
        </w:tc>
        <w:tc>
          <w:tcPr>
            <w:tcW w:w="210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Fin mars 2018</w:t>
            </w:r>
          </w:p>
        </w:tc>
      </w:tr>
      <w:tr w:rsidR="00AC2169" w:rsidRPr="00AC2169" w:rsidTr="00AC2169">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xml:space="preserve">Résultats des affectations à </w:t>
            </w:r>
            <w:r w:rsidRPr="00AC2169">
              <w:rPr>
                <w:rFonts w:ascii="Times New Roman" w:eastAsia="Times New Roman" w:hAnsi="Times New Roman" w:cs="Times New Roman"/>
                <w:b/>
                <w:bCs/>
                <w:sz w:val="24"/>
                <w:szCs w:val="24"/>
                <w:lang w:eastAsia="fr-FR"/>
              </w:rPr>
              <w:t>Saint-Pierre-et-Miquelon</w:t>
            </w:r>
          </w:p>
        </w:tc>
        <w:tc>
          <w:tcPr>
            <w:tcW w:w="2100" w:type="pc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Mai 2018</w:t>
            </w:r>
          </w:p>
        </w:tc>
      </w:tr>
    </w:tbl>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Annexe II - Classement des demandes</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3866"/>
        <w:gridCol w:w="3007"/>
      </w:tblGrid>
      <w:tr w:rsidR="00AC2169" w:rsidRPr="00AC2169" w:rsidTr="00AC2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Critères</w:t>
            </w:r>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Points</w:t>
            </w:r>
          </w:p>
        </w:tc>
      </w:tr>
      <w:tr w:rsidR="00AC2169" w:rsidRPr="00AC2169" w:rsidTr="00AC21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Ancienneté dans le poste</w:t>
            </w:r>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10 points par année de service dans le poste actuel</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0 point les 1re, 2e, 3e et 4e années de service après réintégration suite à un séjour en COM (Polynésie française, Nouvelle-Calédonie, Wallis-et-Futuna) ou un détachement à l'étranger.</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À compter de la 5e année, l'ancienneté de poste antérieure est reprise.</w:t>
            </w:r>
          </w:p>
        </w:tc>
      </w:tr>
      <w:tr w:rsidR="00AC2169" w:rsidRPr="00AC2169" w:rsidTr="00AC21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Expérience professionnelle</w:t>
            </w:r>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1er au 3e échelon : 21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4e échelon : 24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5e  échelon : 30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6e échelon : 42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7e échelon : 49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8e échelon : 56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9e échelon : 56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10e échelon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40 points</w:t>
            </w: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11e échelon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r>
      <w:tr w:rsidR="00AC2169" w:rsidRPr="00AC2169" w:rsidTr="00AC2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HCL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169" w:rsidRPr="00AC2169" w:rsidRDefault="00AC2169" w:rsidP="00AC2169">
            <w:pPr>
              <w:spacing w:after="0" w:line="240" w:lineRule="auto"/>
              <w:rPr>
                <w:rFonts w:ascii="Times New Roman" w:eastAsia="Times New Roman" w:hAnsi="Times New Roman" w:cs="Times New Roman"/>
                <w:sz w:val="24"/>
                <w:szCs w:val="24"/>
                <w:lang w:eastAsia="fr-FR"/>
              </w:rPr>
            </w:pPr>
          </w:p>
        </w:tc>
      </w:tr>
      <w:tr w:rsidR="00AC2169" w:rsidRPr="00AC2169" w:rsidTr="00AC2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Bonification mutations simultanées</w:t>
            </w:r>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100 points</w:t>
            </w:r>
          </w:p>
        </w:tc>
      </w:tr>
      <w:tr w:rsidR="00AC2169" w:rsidRPr="00AC2169" w:rsidTr="00AC2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Bonification 1er séjour</w:t>
            </w:r>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80 points</w:t>
            </w:r>
          </w:p>
        </w:tc>
      </w:tr>
      <w:tr w:rsidR="00AC2169" w:rsidRPr="00AC2169" w:rsidTr="00AC2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Rapprochement de conjoints</w:t>
            </w:r>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500 points</w:t>
            </w:r>
          </w:p>
        </w:tc>
      </w:tr>
      <w:tr w:rsidR="00AC2169" w:rsidRPr="00AC2169" w:rsidTr="00AC2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C2169">
              <w:rPr>
                <w:rFonts w:ascii="Times New Roman" w:eastAsia="Times New Roman" w:hAnsi="Times New Roman" w:cs="Times New Roman"/>
                <w:sz w:val="24"/>
                <w:szCs w:val="24"/>
                <w:lang w:eastAsia="fr-FR"/>
              </w:rPr>
              <w:t>Cimm</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1 000 points</w:t>
            </w:r>
          </w:p>
        </w:tc>
      </w:tr>
    </w:tbl>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r w:rsidRPr="00AC2169">
        <w:rPr>
          <w:rFonts w:ascii="Times New Roman" w:eastAsia="Times New Roman" w:hAnsi="Times New Roman" w:cs="Times New Roman"/>
          <w:sz w:val="24"/>
          <w:szCs w:val="24"/>
          <w:lang w:eastAsia="fr-FR"/>
        </w:rPr>
        <w:t>Annexe 3</w:t>
      </w:r>
    </w:p>
    <w:p w:rsidR="00AC2169" w:rsidRPr="00AC2169" w:rsidRDefault="00AC2169" w:rsidP="00AC2169">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tooltip="perso617_annexe3 (PDF-102.55 Ko-Nouvelle fenêtre)" w:history="1">
        <w:r w:rsidRPr="00AC2169">
          <w:rPr>
            <w:rFonts w:ascii="Times New Roman" w:eastAsia="Times New Roman" w:hAnsi="Times New Roman" w:cs="Times New Roman"/>
            <w:color w:val="0000FF"/>
            <w:sz w:val="24"/>
            <w:szCs w:val="24"/>
            <w:u w:val="single"/>
            <w:lang w:eastAsia="fr-FR"/>
          </w:rPr>
          <w:t>Affectations à Mayotte</w:t>
        </w:r>
      </w:hyperlink>
    </w:p>
    <w:p w:rsidR="004D440B" w:rsidRDefault="004D440B">
      <w:bookmarkStart w:id="0" w:name="_GoBack"/>
      <w:bookmarkEnd w:id="0"/>
    </w:p>
    <w:sectPr w:rsidR="004D4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69"/>
    <w:rsid w:val="004D440B"/>
    <w:rsid w:val="00AC2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2CC0-857A-45D8-B94C-452B6B3A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3224">
      <w:bodyDiv w:val="1"/>
      <w:marLeft w:val="0"/>
      <w:marRight w:val="0"/>
      <w:marTop w:val="0"/>
      <w:marBottom w:val="0"/>
      <w:divBdr>
        <w:top w:val="none" w:sz="0" w:space="0" w:color="auto"/>
        <w:left w:val="none" w:sz="0" w:space="0" w:color="auto"/>
        <w:bottom w:val="none" w:sz="0" w:space="0" w:color="auto"/>
        <w:right w:val="none" w:sz="0" w:space="0" w:color="auto"/>
      </w:divBdr>
      <w:divsChild>
        <w:div w:id="1604803644">
          <w:marLeft w:val="0"/>
          <w:marRight w:val="0"/>
          <w:marTop w:val="0"/>
          <w:marBottom w:val="0"/>
          <w:divBdr>
            <w:top w:val="none" w:sz="0" w:space="0" w:color="auto"/>
            <w:left w:val="none" w:sz="0" w:space="0" w:color="auto"/>
            <w:bottom w:val="none" w:sz="0" w:space="0" w:color="auto"/>
            <w:right w:val="none" w:sz="0" w:space="0" w:color="auto"/>
          </w:divBdr>
          <w:divsChild>
            <w:div w:id="408355192">
              <w:marLeft w:val="0"/>
              <w:marRight w:val="0"/>
              <w:marTop w:val="0"/>
              <w:marBottom w:val="0"/>
              <w:divBdr>
                <w:top w:val="none" w:sz="0" w:space="0" w:color="auto"/>
                <w:left w:val="none" w:sz="0" w:space="0" w:color="auto"/>
                <w:bottom w:val="none" w:sz="0" w:space="0" w:color="auto"/>
                <w:right w:val="none" w:sz="0" w:space="0" w:color="auto"/>
              </w:divBdr>
              <w:divsChild>
                <w:div w:id="334843630">
                  <w:marLeft w:val="0"/>
                  <w:marRight w:val="0"/>
                  <w:marTop w:val="0"/>
                  <w:marBottom w:val="0"/>
                  <w:divBdr>
                    <w:top w:val="none" w:sz="0" w:space="0" w:color="auto"/>
                    <w:left w:val="none" w:sz="0" w:space="0" w:color="auto"/>
                    <w:bottom w:val="none" w:sz="0" w:space="0" w:color="auto"/>
                    <w:right w:val="none" w:sz="0" w:space="0" w:color="auto"/>
                  </w:divBdr>
                </w:div>
                <w:div w:id="480121040">
                  <w:marLeft w:val="0"/>
                  <w:marRight w:val="0"/>
                  <w:marTop w:val="0"/>
                  <w:marBottom w:val="0"/>
                  <w:divBdr>
                    <w:top w:val="none" w:sz="0" w:space="0" w:color="auto"/>
                    <w:left w:val="none" w:sz="0" w:space="0" w:color="auto"/>
                    <w:bottom w:val="none" w:sz="0" w:space="0" w:color="auto"/>
                    <w:right w:val="none" w:sz="0" w:space="0" w:color="auto"/>
                  </w:divBdr>
                </w:div>
                <w:div w:id="1614938783">
                  <w:marLeft w:val="0"/>
                  <w:marRight w:val="0"/>
                  <w:marTop w:val="0"/>
                  <w:marBottom w:val="0"/>
                  <w:divBdr>
                    <w:top w:val="none" w:sz="0" w:space="0" w:color="auto"/>
                    <w:left w:val="none" w:sz="0" w:space="0" w:color="auto"/>
                    <w:bottom w:val="none" w:sz="0" w:space="0" w:color="auto"/>
                    <w:right w:val="none" w:sz="0" w:space="0" w:color="auto"/>
                  </w:divBdr>
                  <w:divsChild>
                    <w:div w:id="84422832">
                      <w:marLeft w:val="0"/>
                      <w:marRight w:val="0"/>
                      <w:marTop w:val="0"/>
                      <w:marBottom w:val="0"/>
                      <w:divBdr>
                        <w:top w:val="none" w:sz="0" w:space="0" w:color="auto"/>
                        <w:left w:val="none" w:sz="0" w:space="0" w:color="auto"/>
                        <w:bottom w:val="none" w:sz="0" w:space="0" w:color="auto"/>
                        <w:right w:val="none" w:sz="0" w:space="0" w:color="auto"/>
                      </w:divBdr>
                      <w:divsChild>
                        <w:div w:id="2047414525">
                          <w:marLeft w:val="0"/>
                          <w:marRight w:val="0"/>
                          <w:marTop w:val="0"/>
                          <w:marBottom w:val="0"/>
                          <w:divBdr>
                            <w:top w:val="none" w:sz="0" w:space="0" w:color="auto"/>
                            <w:left w:val="none" w:sz="0" w:space="0" w:color="auto"/>
                            <w:bottom w:val="none" w:sz="0" w:space="0" w:color="auto"/>
                            <w:right w:val="none" w:sz="0" w:space="0" w:color="auto"/>
                          </w:divBdr>
                        </w:div>
                        <w:div w:id="1071123188">
                          <w:marLeft w:val="0"/>
                          <w:marRight w:val="0"/>
                          <w:marTop w:val="0"/>
                          <w:marBottom w:val="0"/>
                          <w:divBdr>
                            <w:top w:val="none" w:sz="0" w:space="0" w:color="auto"/>
                            <w:left w:val="none" w:sz="0" w:space="0" w:color="auto"/>
                            <w:bottom w:val="none" w:sz="0" w:space="0" w:color="auto"/>
                            <w:right w:val="none" w:sz="0" w:space="0" w:color="auto"/>
                          </w:divBdr>
                        </w:div>
                        <w:div w:id="7828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che.media.education.gouv.fr/file/SPE-MEN-2/69/2/perso617_annexe3_840692.pdf" TargetMode="External"/><Relationship Id="rId4" Type="http://schemas.openxmlformats.org/officeDocument/2006/relationships/hyperlink" Target="http://www.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2017-11-09T12:29:00Z</dcterms:created>
  <dcterms:modified xsi:type="dcterms:W3CDTF">2017-11-09T12:30:00Z</dcterms:modified>
</cp:coreProperties>
</file>